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79" w:rsidRDefault="00317A17" w:rsidP="00014D6A">
      <w:pPr>
        <w:jc w:val="center"/>
        <w:rPr>
          <w:b/>
          <w:sz w:val="26"/>
          <w:szCs w:val="26"/>
        </w:rPr>
      </w:pPr>
      <w:r>
        <w:rPr>
          <w:b/>
          <w:sz w:val="26"/>
          <w:szCs w:val="26"/>
        </w:rPr>
        <w:t>Notes for the V</w:t>
      </w:r>
      <w:r w:rsidR="00014D6A" w:rsidRPr="00014D6A">
        <w:rPr>
          <w:b/>
          <w:sz w:val="26"/>
          <w:szCs w:val="26"/>
        </w:rPr>
        <w:t>ideos</w:t>
      </w:r>
    </w:p>
    <w:p w:rsidR="00014D6A" w:rsidRDefault="00014D6A" w:rsidP="00014D6A">
      <w:pPr>
        <w:jc w:val="center"/>
        <w:rPr>
          <w:b/>
          <w:sz w:val="26"/>
          <w:szCs w:val="26"/>
        </w:rPr>
      </w:pPr>
    </w:p>
    <w:p w:rsidR="00014D6A" w:rsidRDefault="00014D6A" w:rsidP="00014D6A">
      <w:pPr>
        <w:rPr>
          <w:sz w:val="26"/>
          <w:szCs w:val="26"/>
        </w:rPr>
      </w:pPr>
      <w:r>
        <w:rPr>
          <w:i/>
          <w:sz w:val="26"/>
          <w:szCs w:val="26"/>
        </w:rPr>
        <w:t>The Man Who Was Sherlock Holmes</w:t>
      </w:r>
    </w:p>
    <w:p w:rsidR="00014D6A" w:rsidRDefault="00317A17" w:rsidP="00317A17">
      <w:pPr>
        <w:ind w:left="720"/>
        <w:rPr>
          <w:sz w:val="26"/>
          <w:szCs w:val="26"/>
        </w:rPr>
      </w:pPr>
      <w:r>
        <w:rPr>
          <w:sz w:val="26"/>
          <w:szCs w:val="26"/>
        </w:rPr>
        <w:t xml:space="preserve">This film, released in 1937, </w:t>
      </w:r>
      <w:r w:rsidR="00014D6A" w:rsidRPr="00317A17">
        <w:rPr>
          <w:sz w:val="26"/>
          <w:szCs w:val="26"/>
        </w:rPr>
        <w:t>was</w:t>
      </w:r>
      <w:r>
        <w:rPr>
          <w:sz w:val="26"/>
          <w:szCs w:val="26"/>
        </w:rPr>
        <w:t xml:space="preserve"> not a direct Holmes adaptation, but rather, it was </w:t>
      </w:r>
      <w:r w:rsidR="00014D6A" w:rsidRPr="00317A17">
        <w:rPr>
          <w:sz w:val="26"/>
          <w:szCs w:val="26"/>
        </w:rPr>
        <w:t>a s</w:t>
      </w:r>
      <w:r>
        <w:rPr>
          <w:sz w:val="26"/>
          <w:szCs w:val="26"/>
        </w:rPr>
        <w:t xml:space="preserve">poof staring two of Germany’s most noted actors: Hans Albers and Heinz </w:t>
      </w:r>
      <w:proofErr w:type="spellStart"/>
      <w:r>
        <w:rPr>
          <w:sz w:val="26"/>
          <w:szCs w:val="26"/>
        </w:rPr>
        <w:t>Rühmann</w:t>
      </w:r>
      <w:proofErr w:type="spellEnd"/>
      <w:r>
        <w:rPr>
          <w:sz w:val="26"/>
          <w:szCs w:val="26"/>
        </w:rPr>
        <w:t>. The</w:t>
      </w:r>
      <w:r w:rsidR="00014D6A" w:rsidRPr="00317A17">
        <w:rPr>
          <w:sz w:val="26"/>
          <w:szCs w:val="26"/>
        </w:rPr>
        <w:t xml:space="preserve"> two main characters</w:t>
      </w:r>
      <w:r>
        <w:rPr>
          <w:sz w:val="26"/>
          <w:szCs w:val="26"/>
        </w:rPr>
        <w:t xml:space="preserve"> </w:t>
      </w:r>
      <w:r w:rsidR="00014D6A" w:rsidRPr="00317A17">
        <w:rPr>
          <w:sz w:val="26"/>
          <w:szCs w:val="26"/>
        </w:rPr>
        <w:t xml:space="preserve">are </w:t>
      </w:r>
      <w:r>
        <w:rPr>
          <w:sz w:val="26"/>
          <w:szCs w:val="26"/>
        </w:rPr>
        <w:t xml:space="preserve">respectively </w:t>
      </w:r>
      <w:r w:rsidR="00014D6A" w:rsidRPr="00317A17">
        <w:rPr>
          <w:sz w:val="26"/>
          <w:szCs w:val="26"/>
        </w:rPr>
        <w:t>mistaken for Sherlock Holmes and John Watson many times throughout the film</w:t>
      </w:r>
      <w:r>
        <w:rPr>
          <w:sz w:val="26"/>
          <w:szCs w:val="26"/>
        </w:rPr>
        <w:t xml:space="preserve">. </w:t>
      </w:r>
      <w:r w:rsidR="00014D6A" w:rsidRPr="00317A17">
        <w:rPr>
          <w:sz w:val="26"/>
          <w:szCs w:val="26"/>
        </w:rPr>
        <w:t>Although they never directly claim to be such, they also never correct an</w:t>
      </w:r>
      <w:r>
        <w:rPr>
          <w:sz w:val="26"/>
          <w:szCs w:val="26"/>
        </w:rPr>
        <w:t xml:space="preserve">yone who makes this presumption. </w:t>
      </w:r>
      <w:r w:rsidR="00014D6A" w:rsidRPr="00317A17">
        <w:rPr>
          <w:sz w:val="26"/>
          <w:szCs w:val="26"/>
        </w:rPr>
        <w:t>Based on the mistaken identity, they take on a case involving counterfeit money and stamps, which they solve</w:t>
      </w:r>
      <w:r>
        <w:rPr>
          <w:sz w:val="26"/>
          <w:szCs w:val="26"/>
        </w:rPr>
        <w:t xml:space="preserve">. </w:t>
      </w:r>
      <w:r w:rsidR="00014D6A" w:rsidRPr="00317A17">
        <w:rPr>
          <w:sz w:val="26"/>
          <w:szCs w:val="26"/>
        </w:rPr>
        <w:t>But by the time they have solved the case, the pseudo Holmes and Watson are bro</w:t>
      </w:r>
      <w:r>
        <w:rPr>
          <w:sz w:val="26"/>
          <w:szCs w:val="26"/>
        </w:rPr>
        <w:t xml:space="preserve">ught to trial for impersonation. </w:t>
      </w:r>
      <w:r w:rsidR="00014D6A" w:rsidRPr="00317A17">
        <w:rPr>
          <w:sz w:val="26"/>
          <w:szCs w:val="26"/>
        </w:rPr>
        <w:t>The excerpt is two clips, the first one from the beginning of the film when the fake Holmes and Watson are first mistaken</w:t>
      </w:r>
      <w:r>
        <w:rPr>
          <w:sz w:val="26"/>
          <w:szCs w:val="26"/>
        </w:rPr>
        <w:t xml:space="preserve">. </w:t>
      </w:r>
      <w:r w:rsidR="00014D6A" w:rsidRPr="00317A17">
        <w:rPr>
          <w:sz w:val="26"/>
          <w:szCs w:val="26"/>
        </w:rPr>
        <w:t>The second is from the end when a mysterious third character, who has been present throughout the film, s</w:t>
      </w:r>
      <w:r>
        <w:rPr>
          <w:sz w:val="26"/>
          <w:szCs w:val="26"/>
        </w:rPr>
        <w:t>aves the two imposters in court.</w:t>
      </w:r>
    </w:p>
    <w:p w:rsidR="00317A17" w:rsidRDefault="00317A17" w:rsidP="00317A17">
      <w:pPr>
        <w:rPr>
          <w:sz w:val="26"/>
          <w:szCs w:val="26"/>
        </w:rPr>
      </w:pPr>
    </w:p>
    <w:p w:rsidR="006672FF" w:rsidRDefault="006672FF" w:rsidP="00317A17">
      <w:pPr>
        <w:rPr>
          <w:sz w:val="26"/>
          <w:szCs w:val="26"/>
        </w:rPr>
      </w:pPr>
    </w:p>
    <w:p w:rsidR="00317A17" w:rsidRDefault="00317A17" w:rsidP="00317A17">
      <w:pPr>
        <w:rPr>
          <w:sz w:val="26"/>
          <w:szCs w:val="26"/>
        </w:rPr>
      </w:pPr>
      <w:r>
        <w:rPr>
          <w:i/>
          <w:sz w:val="26"/>
          <w:szCs w:val="26"/>
        </w:rPr>
        <w:t>Triumph of the Will</w:t>
      </w:r>
    </w:p>
    <w:p w:rsidR="00317A17" w:rsidRDefault="00317A17" w:rsidP="00B17855">
      <w:pPr>
        <w:ind w:left="720"/>
        <w:rPr>
          <w:sz w:val="26"/>
          <w:szCs w:val="26"/>
        </w:rPr>
      </w:pPr>
      <w:r>
        <w:rPr>
          <w:sz w:val="26"/>
          <w:szCs w:val="26"/>
        </w:rPr>
        <w:t xml:space="preserve">This film is director </w:t>
      </w:r>
      <w:proofErr w:type="spellStart"/>
      <w:r>
        <w:rPr>
          <w:sz w:val="26"/>
          <w:szCs w:val="26"/>
        </w:rPr>
        <w:t>Leni</w:t>
      </w:r>
      <w:proofErr w:type="spellEnd"/>
      <w:r>
        <w:rPr>
          <w:sz w:val="26"/>
          <w:szCs w:val="26"/>
        </w:rPr>
        <w:t xml:space="preserve"> Riefenstahl’s documentary of the 1934 Nazi party rally in Nuremberg. The purpose of these rallies in general </w:t>
      </w:r>
      <w:r w:rsidR="00B17855">
        <w:rPr>
          <w:sz w:val="26"/>
          <w:szCs w:val="26"/>
        </w:rPr>
        <w:t xml:space="preserve">and this documentary in particular </w:t>
      </w:r>
      <w:r w:rsidR="00CC21D7">
        <w:rPr>
          <w:sz w:val="26"/>
          <w:szCs w:val="26"/>
        </w:rPr>
        <w:t>was</w:t>
      </w:r>
      <w:r w:rsidR="00B17855">
        <w:rPr>
          <w:sz w:val="26"/>
          <w:szCs w:val="26"/>
        </w:rPr>
        <w:t xml:space="preserve"> to praise Hitler and to glorify the national community. The </w:t>
      </w:r>
      <w:r w:rsidR="00B17855" w:rsidRPr="00B17855">
        <w:rPr>
          <w:sz w:val="26"/>
          <w:szCs w:val="26"/>
          <w:u w:val="single"/>
        </w:rPr>
        <w:t>first clip</w:t>
      </w:r>
      <w:r w:rsidR="00B17855">
        <w:rPr>
          <w:sz w:val="26"/>
          <w:szCs w:val="26"/>
        </w:rPr>
        <w:t xml:space="preserve"> contains selected scenes from near the opening of the film; it shows the mass adulation of the people for Hitler. The </w:t>
      </w:r>
      <w:r w:rsidR="00B17855" w:rsidRPr="00B17855">
        <w:rPr>
          <w:sz w:val="26"/>
          <w:szCs w:val="26"/>
          <w:u w:val="single"/>
        </w:rPr>
        <w:t>second clip</w:t>
      </w:r>
      <w:r w:rsidR="00B17855">
        <w:rPr>
          <w:sz w:val="26"/>
          <w:szCs w:val="26"/>
        </w:rPr>
        <w:t xml:space="preserve"> is a scene from Hitler speaking at the rally grounds to members of the party’s paramilitary units, the SA and the SS. The 1934 rally took place just over two months after the Night of the Long Knives, which was the purge of the SA leadership (and some of Hitler’s political enemies) by the SS. A </w:t>
      </w:r>
      <w:r w:rsidR="00B17855" w:rsidRPr="00B17855">
        <w:rPr>
          <w:sz w:val="26"/>
          <w:szCs w:val="26"/>
          <w:u w:val="single"/>
        </w:rPr>
        <w:t>full subtitled version</w:t>
      </w:r>
      <w:r w:rsidR="00B17855">
        <w:rPr>
          <w:sz w:val="26"/>
          <w:szCs w:val="26"/>
        </w:rPr>
        <w:t xml:space="preserve"> of the documentary is available on </w:t>
      </w:r>
      <w:proofErr w:type="spellStart"/>
      <w:r w:rsidR="00B17855">
        <w:rPr>
          <w:sz w:val="26"/>
          <w:szCs w:val="26"/>
        </w:rPr>
        <w:t>Youtube</w:t>
      </w:r>
      <w:proofErr w:type="spellEnd"/>
      <w:r w:rsidR="00B17855">
        <w:rPr>
          <w:sz w:val="26"/>
          <w:szCs w:val="26"/>
        </w:rPr>
        <w:t xml:space="preserve">: </w:t>
      </w:r>
      <w:hyperlink r:id="rId5" w:history="1">
        <w:r w:rsidR="00B17855" w:rsidRPr="00A17112">
          <w:rPr>
            <w:rStyle w:val="Hyperlink"/>
            <w:sz w:val="26"/>
            <w:szCs w:val="26"/>
          </w:rPr>
          <w:t>https://www.youtube.com/watch?v=b0kwnLzFMls</w:t>
        </w:r>
      </w:hyperlink>
      <w:r w:rsidR="00B17855">
        <w:rPr>
          <w:rStyle w:val="Hyperlink"/>
          <w:color w:val="auto"/>
          <w:sz w:val="26"/>
          <w:szCs w:val="26"/>
          <w:u w:val="none"/>
        </w:rPr>
        <w:t>.</w:t>
      </w:r>
      <w:r w:rsidR="00B17855">
        <w:rPr>
          <w:sz w:val="26"/>
          <w:szCs w:val="26"/>
        </w:rPr>
        <w:t xml:space="preserve"> Also of interest is a </w:t>
      </w:r>
      <w:r w:rsidR="00B17855" w:rsidRPr="00CC21D7">
        <w:rPr>
          <w:sz w:val="26"/>
          <w:szCs w:val="26"/>
          <w:u w:val="single"/>
        </w:rPr>
        <w:t>review of the documentary</w:t>
      </w:r>
      <w:r w:rsidR="00B17855">
        <w:rPr>
          <w:sz w:val="26"/>
          <w:szCs w:val="26"/>
        </w:rPr>
        <w:t xml:space="preserve"> by the late Roger Ebert: </w:t>
      </w:r>
      <w:hyperlink r:id="rId6" w:history="1">
        <w:r w:rsidR="00B17855" w:rsidRPr="0035486C">
          <w:rPr>
            <w:rStyle w:val="Hyperlink"/>
            <w:sz w:val="26"/>
            <w:szCs w:val="26"/>
          </w:rPr>
          <w:t>http://www.rogerebert.com/reviews/great-movie-triumph-of-the-will-1935</w:t>
        </w:r>
      </w:hyperlink>
      <w:r w:rsidR="00B17855">
        <w:rPr>
          <w:sz w:val="26"/>
          <w:szCs w:val="26"/>
        </w:rPr>
        <w:t xml:space="preserve"> </w:t>
      </w:r>
    </w:p>
    <w:p w:rsidR="00B17855" w:rsidRDefault="00B17855" w:rsidP="00B17855">
      <w:pPr>
        <w:rPr>
          <w:sz w:val="26"/>
          <w:szCs w:val="26"/>
        </w:rPr>
      </w:pPr>
    </w:p>
    <w:p w:rsidR="00B17855" w:rsidRDefault="00B17855" w:rsidP="00B17855">
      <w:pPr>
        <w:rPr>
          <w:sz w:val="26"/>
          <w:szCs w:val="26"/>
        </w:rPr>
      </w:pPr>
    </w:p>
    <w:p w:rsidR="00B17855" w:rsidRDefault="00B17855" w:rsidP="00B17855">
      <w:pPr>
        <w:rPr>
          <w:sz w:val="26"/>
          <w:szCs w:val="26"/>
        </w:rPr>
      </w:pPr>
      <w:r>
        <w:rPr>
          <w:i/>
          <w:sz w:val="26"/>
          <w:szCs w:val="26"/>
        </w:rPr>
        <w:t>Yesterday and Today</w:t>
      </w:r>
    </w:p>
    <w:p w:rsidR="00B17855" w:rsidRPr="00B17855" w:rsidRDefault="006672FF" w:rsidP="006672FF">
      <w:pPr>
        <w:ind w:left="720"/>
        <w:rPr>
          <w:sz w:val="26"/>
          <w:szCs w:val="26"/>
        </w:rPr>
      </w:pPr>
      <w:r>
        <w:rPr>
          <w:sz w:val="26"/>
          <w:szCs w:val="26"/>
        </w:rPr>
        <w:t xml:space="preserve">This </w:t>
      </w:r>
      <w:r w:rsidRPr="00B17855">
        <w:rPr>
          <w:sz w:val="26"/>
          <w:szCs w:val="26"/>
        </w:rPr>
        <w:t>N</w:t>
      </w:r>
      <w:r>
        <w:rPr>
          <w:sz w:val="26"/>
          <w:szCs w:val="26"/>
        </w:rPr>
        <w:t xml:space="preserve">azi propaganda film from 1938 </w:t>
      </w:r>
      <w:r w:rsidRPr="00B17855">
        <w:rPr>
          <w:sz w:val="26"/>
          <w:szCs w:val="26"/>
        </w:rPr>
        <w:t xml:space="preserve">depicts how </w:t>
      </w:r>
      <w:r w:rsidR="00B17855" w:rsidRPr="00B17855">
        <w:rPr>
          <w:sz w:val="26"/>
          <w:szCs w:val="26"/>
        </w:rPr>
        <w:t>Germany was before Hitler and how Germany h</w:t>
      </w:r>
      <w:r>
        <w:rPr>
          <w:sz w:val="26"/>
          <w:szCs w:val="26"/>
        </w:rPr>
        <w:t xml:space="preserve">as improved because of Hitler. </w:t>
      </w:r>
      <w:r w:rsidR="00B17855" w:rsidRPr="00B17855">
        <w:rPr>
          <w:sz w:val="26"/>
          <w:szCs w:val="26"/>
        </w:rPr>
        <w:t>It illustrates how and why the German people would turn their backs on democra</w:t>
      </w:r>
      <w:r>
        <w:rPr>
          <w:sz w:val="26"/>
          <w:szCs w:val="26"/>
        </w:rPr>
        <w:t>cy in favor of a dictatorship. The film</w:t>
      </w:r>
      <w:r w:rsidR="00B17855" w:rsidRPr="00B17855">
        <w:rPr>
          <w:sz w:val="26"/>
          <w:szCs w:val="26"/>
        </w:rPr>
        <w:t xml:space="preserve"> cover</w:t>
      </w:r>
      <w:r>
        <w:rPr>
          <w:sz w:val="26"/>
          <w:szCs w:val="26"/>
        </w:rPr>
        <w:t>s seven</w:t>
      </w:r>
      <w:r w:rsidR="00B17855" w:rsidRPr="00B17855">
        <w:rPr>
          <w:sz w:val="26"/>
          <w:szCs w:val="26"/>
        </w:rPr>
        <w:t xml:space="preserve"> themes: industry, farm</w:t>
      </w:r>
      <w:bookmarkStart w:id="0" w:name="_GoBack"/>
      <w:bookmarkEnd w:id="0"/>
      <w:r w:rsidR="00B17855" w:rsidRPr="00B17855">
        <w:rPr>
          <w:sz w:val="26"/>
          <w:szCs w:val="26"/>
        </w:rPr>
        <w:t>ers, youth, workers, political parties, class warfare, and the Versailles Treaty</w:t>
      </w:r>
      <w:r>
        <w:rPr>
          <w:sz w:val="26"/>
          <w:szCs w:val="26"/>
        </w:rPr>
        <w:t>.</w:t>
      </w:r>
    </w:p>
    <w:sectPr w:rsidR="00B17855" w:rsidRPr="00B17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643D4"/>
    <w:multiLevelType w:val="multilevel"/>
    <w:tmpl w:val="0409001D"/>
    <w:numStyleLink w:val="LectureStyle"/>
  </w:abstractNum>
  <w:abstractNum w:abstractNumId="1">
    <w:nsid w:val="35AC3E8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727209E"/>
    <w:multiLevelType w:val="hybridMultilevel"/>
    <w:tmpl w:val="0776BA4A"/>
    <w:lvl w:ilvl="0" w:tplc="3294B174">
      <w:start w:val="1"/>
      <w:numFmt w:val="bullet"/>
      <w:lvlText w:val=""/>
      <w:lvlJc w:val="left"/>
      <w:pPr>
        <w:tabs>
          <w:tab w:val="num" w:pos="720"/>
        </w:tabs>
        <w:ind w:left="720" w:hanging="360"/>
      </w:pPr>
      <w:rPr>
        <w:rFonts w:ascii="Wingdings" w:hAnsi="Wingdings" w:hint="default"/>
      </w:rPr>
    </w:lvl>
    <w:lvl w:ilvl="1" w:tplc="2B3C1FF8" w:tentative="1">
      <w:start w:val="1"/>
      <w:numFmt w:val="bullet"/>
      <w:lvlText w:val=""/>
      <w:lvlJc w:val="left"/>
      <w:pPr>
        <w:tabs>
          <w:tab w:val="num" w:pos="1440"/>
        </w:tabs>
        <w:ind w:left="1440" w:hanging="360"/>
      </w:pPr>
      <w:rPr>
        <w:rFonts w:ascii="Wingdings" w:hAnsi="Wingdings" w:hint="default"/>
      </w:rPr>
    </w:lvl>
    <w:lvl w:ilvl="2" w:tplc="D7E61DB0" w:tentative="1">
      <w:start w:val="1"/>
      <w:numFmt w:val="bullet"/>
      <w:lvlText w:val=""/>
      <w:lvlJc w:val="left"/>
      <w:pPr>
        <w:tabs>
          <w:tab w:val="num" w:pos="2160"/>
        </w:tabs>
        <w:ind w:left="2160" w:hanging="360"/>
      </w:pPr>
      <w:rPr>
        <w:rFonts w:ascii="Wingdings" w:hAnsi="Wingdings" w:hint="default"/>
      </w:rPr>
    </w:lvl>
    <w:lvl w:ilvl="3" w:tplc="62FA7EA8" w:tentative="1">
      <w:start w:val="1"/>
      <w:numFmt w:val="bullet"/>
      <w:lvlText w:val=""/>
      <w:lvlJc w:val="left"/>
      <w:pPr>
        <w:tabs>
          <w:tab w:val="num" w:pos="2880"/>
        </w:tabs>
        <w:ind w:left="2880" w:hanging="360"/>
      </w:pPr>
      <w:rPr>
        <w:rFonts w:ascii="Wingdings" w:hAnsi="Wingdings" w:hint="default"/>
      </w:rPr>
    </w:lvl>
    <w:lvl w:ilvl="4" w:tplc="57745566" w:tentative="1">
      <w:start w:val="1"/>
      <w:numFmt w:val="bullet"/>
      <w:lvlText w:val=""/>
      <w:lvlJc w:val="left"/>
      <w:pPr>
        <w:tabs>
          <w:tab w:val="num" w:pos="3600"/>
        </w:tabs>
        <w:ind w:left="3600" w:hanging="360"/>
      </w:pPr>
      <w:rPr>
        <w:rFonts w:ascii="Wingdings" w:hAnsi="Wingdings" w:hint="default"/>
      </w:rPr>
    </w:lvl>
    <w:lvl w:ilvl="5" w:tplc="936AE20C" w:tentative="1">
      <w:start w:val="1"/>
      <w:numFmt w:val="bullet"/>
      <w:lvlText w:val=""/>
      <w:lvlJc w:val="left"/>
      <w:pPr>
        <w:tabs>
          <w:tab w:val="num" w:pos="4320"/>
        </w:tabs>
        <w:ind w:left="4320" w:hanging="360"/>
      </w:pPr>
      <w:rPr>
        <w:rFonts w:ascii="Wingdings" w:hAnsi="Wingdings" w:hint="default"/>
      </w:rPr>
    </w:lvl>
    <w:lvl w:ilvl="6" w:tplc="7428902E" w:tentative="1">
      <w:start w:val="1"/>
      <w:numFmt w:val="bullet"/>
      <w:lvlText w:val=""/>
      <w:lvlJc w:val="left"/>
      <w:pPr>
        <w:tabs>
          <w:tab w:val="num" w:pos="5040"/>
        </w:tabs>
        <w:ind w:left="5040" w:hanging="360"/>
      </w:pPr>
      <w:rPr>
        <w:rFonts w:ascii="Wingdings" w:hAnsi="Wingdings" w:hint="default"/>
      </w:rPr>
    </w:lvl>
    <w:lvl w:ilvl="7" w:tplc="A96AFA7C" w:tentative="1">
      <w:start w:val="1"/>
      <w:numFmt w:val="bullet"/>
      <w:lvlText w:val=""/>
      <w:lvlJc w:val="left"/>
      <w:pPr>
        <w:tabs>
          <w:tab w:val="num" w:pos="5760"/>
        </w:tabs>
        <w:ind w:left="5760" w:hanging="360"/>
      </w:pPr>
      <w:rPr>
        <w:rFonts w:ascii="Wingdings" w:hAnsi="Wingdings" w:hint="default"/>
      </w:rPr>
    </w:lvl>
    <w:lvl w:ilvl="8" w:tplc="FF34F836" w:tentative="1">
      <w:start w:val="1"/>
      <w:numFmt w:val="bullet"/>
      <w:lvlText w:val=""/>
      <w:lvlJc w:val="left"/>
      <w:pPr>
        <w:tabs>
          <w:tab w:val="num" w:pos="6480"/>
        </w:tabs>
        <w:ind w:left="6480" w:hanging="360"/>
      </w:pPr>
      <w:rPr>
        <w:rFonts w:ascii="Wingdings" w:hAnsi="Wingdings" w:hint="default"/>
      </w:rPr>
    </w:lvl>
  </w:abstractNum>
  <w:abstractNum w:abstractNumId="3">
    <w:nsid w:val="5CB137DE"/>
    <w:multiLevelType w:val="multilevel"/>
    <w:tmpl w:val="0409001D"/>
    <w:styleLink w:val="LectureStyle"/>
    <w:lvl w:ilvl="0">
      <w:start w:val="1"/>
      <w:numFmt w:val="upperRoman"/>
      <w:lvlText w:val="%1)"/>
      <w:lvlJc w:val="left"/>
      <w:pPr>
        <w:ind w:left="360" w:hanging="360"/>
      </w:pPr>
      <w:rPr>
        <w:rFonts w:ascii="Times New Roman" w:hAnsi="Times New Roman"/>
        <w:sz w:val="30"/>
      </w:rPr>
    </w:lvl>
    <w:lvl w:ilvl="1">
      <w:start w:val="1"/>
      <w:numFmt w:val="upperLetter"/>
      <w:lvlText w:val="%2)"/>
      <w:lvlJc w:val="left"/>
      <w:pPr>
        <w:ind w:left="720" w:hanging="360"/>
      </w:pPr>
      <w:rPr>
        <w:rFonts w:ascii="Times New Roman" w:hAnsi="Times New Roman"/>
        <w:sz w:val="30"/>
      </w:rPr>
    </w:lvl>
    <w:lvl w:ilvl="2">
      <w:start w:val="1"/>
      <w:numFmt w:val="decimal"/>
      <w:lvlText w:val="%3)"/>
      <w:lvlJc w:val="left"/>
      <w:pPr>
        <w:ind w:left="1080" w:hanging="360"/>
      </w:pPr>
      <w:rPr>
        <w:rFonts w:ascii="Times New Roman" w:hAnsi="Times New Roman"/>
        <w:sz w:val="30"/>
      </w:rPr>
    </w:lvl>
    <w:lvl w:ilvl="3">
      <w:start w:val="1"/>
      <w:numFmt w:val="lowerLetter"/>
      <w:lvlText w:val="(%4)"/>
      <w:lvlJc w:val="left"/>
      <w:pPr>
        <w:ind w:left="1440" w:hanging="360"/>
      </w:pPr>
      <w:rPr>
        <w:rFonts w:ascii="Times New Roman" w:hAnsi="Times New Roman"/>
        <w:sz w:val="30"/>
      </w:rPr>
    </w:lvl>
    <w:lvl w:ilvl="4">
      <w:start w:val="1"/>
      <w:numFmt w:val="lowerRoman"/>
      <w:lvlText w:val="(%5)"/>
      <w:lvlJc w:val="left"/>
      <w:pPr>
        <w:ind w:left="1800" w:hanging="360"/>
      </w:pPr>
      <w:rPr>
        <w:rFonts w:ascii="Times New Roman" w:hAnsi="Times New Roman"/>
        <w:sz w:val="30"/>
      </w:rPr>
    </w:lvl>
    <w:lvl w:ilvl="5">
      <w:start w:val="1"/>
      <w:numFmt w:val="bullet"/>
      <w:lvlText w:val=""/>
      <w:lvlJc w:val="left"/>
      <w:pPr>
        <w:ind w:left="2160" w:hanging="360"/>
      </w:pPr>
      <w:rPr>
        <w:rFonts w:ascii="Symbol" w:hAnsi="Symbol" w:hint="default"/>
        <w:color w:val="auto"/>
        <w:sz w:val="3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6A"/>
    <w:rsid w:val="00014D6A"/>
    <w:rsid w:val="00045DC8"/>
    <w:rsid w:val="00082865"/>
    <w:rsid w:val="00317A17"/>
    <w:rsid w:val="006672FF"/>
    <w:rsid w:val="007D0D12"/>
    <w:rsid w:val="00997279"/>
    <w:rsid w:val="009B49E3"/>
    <w:rsid w:val="00B17855"/>
    <w:rsid w:val="00CC21D7"/>
    <w:rsid w:val="00E3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ABE9F-76F0-4403-83C9-04C2C6A4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F6"/>
    <w:pPr>
      <w:widowControl w:val="0"/>
      <w:ind w:left="0" w:firstLine="0"/>
    </w:pPr>
    <w:rPr>
      <w:rFonts w:ascii="Times New Roman" w:hAnsi="Times New Roman"/>
      <w:sz w:val="20"/>
    </w:rPr>
  </w:style>
  <w:style w:type="paragraph" w:styleId="Heading1">
    <w:name w:val="heading 1"/>
    <w:basedOn w:val="Normal"/>
    <w:next w:val="Normal"/>
    <w:link w:val="Heading1Char"/>
    <w:uiPriority w:val="9"/>
    <w:qFormat/>
    <w:rsid w:val="00082865"/>
    <w:pPr>
      <w:keepNext/>
      <w:keepLines/>
      <w:numPr>
        <w:numId w:val="1"/>
      </w:numPr>
      <w:spacing w:before="240"/>
      <w:outlineLvl w:val="0"/>
    </w:pPr>
    <w:rPr>
      <w:rFonts w:eastAsiaTheme="majorEastAsia" w:cstheme="majorBidi"/>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865"/>
    <w:rPr>
      <w:rFonts w:ascii="Times New Roman" w:eastAsiaTheme="majorEastAsia" w:hAnsi="Times New Roman" w:cstheme="majorBidi"/>
      <w:sz w:val="30"/>
      <w:szCs w:val="32"/>
    </w:rPr>
  </w:style>
  <w:style w:type="numbering" w:customStyle="1" w:styleId="LectureStyle">
    <w:name w:val="Lecture Style"/>
    <w:uiPriority w:val="99"/>
    <w:rsid w:val="00014D6A"/>
    <w:pPr>
      <w:numPr>
        <w:numId w:val="2"/>
      </w:numPr>
    </w:pPr>
  </w:style>
  <w:style w:type="paragraph" w:styleId="ListParagraph">
    <w:name w:val="List Paragraph"/>
    <w:basedOn w:val="Normal"/>
    <w:uiPriority w:val="34"/>
    <w:qFormat/>
    <w:rsid w:val="00014D6A"/>
    <w:pPr>
      <w:spacing w:after="200"/>
      <w:ind w:left="720"/>
      <w:contextualSpacing/>
    </w:pPr>
    <w:rPr>
      <w:rFonts w:eastAsia="Calibri" w:cs="Times New Roman"/>
    </w:rPr>
  </w:style>
  <w:style w:type="character" w:styleId="Hyperlink">
    <w:name w:val="Hyperlink"/>
    <w:basedOn w:val="DefaultParagraphFont"/>
    <w:uiPriority w:val="99"/>
    <w:unhideWhenUsed/>
    <w:rsid w:val="00B17855"/>
    <w:rPr>
      <w:color w:val="0563C1" w:themeColor="hyperlink"/>
      <w:u w:val="single"/>
    </w:rPr>
  </w:style>
  <w:style w:type="character" w:styleId="FollowedHyperlink">
    <w:name w:val="FollowedHyperlink"/>
    <w:basedOn w:val="DefaultParagraphFont"/>
    <w:uiPriority w:val="99"/>
    <w:semiHidden/>
    <w:unhideWhenUsed/>
    <w:rsid w:val="00B17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erebert.com/reviews/great-movie-triumph-of-the-will-1935" TargetMode="External"/><Relationship Id="rId5" Type="http://schemas.openxmlformats.org/officeDocument/2006/relationships/hyperlink" Target="https://www.youtube.com/watch?v=b0kwnLzFM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cp:revision>
  <dcterms:created xsi:type="dcterms:W3CDTF">2015-04-29T23:51:00Z</dcterms:created>
  <dcterms:modified xsi:type="dcterms:W3CDTF">2015-04-30T21:28:00Z</dcterms:modified>
</cp:coreProperties>
</file>